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Fonts w:ascii="Times New Roman" w:hAnsi="Times New Roman"/>
        </w:rPr>
        <w:t xml:space="preserve">Материјали за </w:t>
      </w:r>
      <w:r>
        <w:rPr>
          <w:rFonts w:ascii="Times New Roman" w:hAnsi="Times New Roman"/>
          <w:lang w:val="sr-RS"/>
        </w:rPr>
        <w:t xml:space="preserve">припрему кандидата за </w:t>
      </w:r>
      <w:r>
        <w:rPr>
          <w:rFonts w:ascii="Times New Roman" w:hAnsi="Times New Roman"/>
        </w:rPr>
        <w:t>проверу</w:t>
      </w:r>
      <w:r>
        <w:rPr>
          <w:rFonts w:ascii="Times New Roman" w:hAnsi="Times New Roman"/>
          <w:lang w:val="sr-RS"/>
        </w:rPr>
        <w:t xml:space="preserve"> општих функционалних компетенција могу се пронаћи на следећем линку:</w:t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  <w:t xml:space="preserve">              </w:t>
      </w:r>
      <w:hyperlink r:id="rId2">
        <w:r>
          <w:rPr>
            <w:rStyle w:val="InternetLink"/>
            <w:lang w:val="sr-RS"/>
          </w:rPr>
          <w:t>Кутак | Материјали за припрему - АП и ЈЛС (suk.gov.rs)</w:t>
        </w:r>
      </w:hyperlink>
      <w:r>
        <w:rPr>
          <w:lang w:val="sr-RS"/>
        </w:rPr>
        <w:t xml:space="preserve"> </w:t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  <w:t xml:space="preserve">             </w:t>
      </w:r>
      <w:hyperlink r:id="rId3">
        <w:r>
          <w:rPr>
            <w:rStyle w:val="InternetLink"/>
            <w:lang w:val="sr-RS"/>
          </w:rPr>
          <w:t xml:space="preserve">  </w:t>
        </w:r>
        <w:bookmarkStart w:id="0" w:name="_GoBack"/>
        <w:bookmarkEnd w:id="0"/>
        <w:r>
          <w:rPr>
            <w:rStyle w:val="InternetLink"/>
            <w:lang w:val="sr-RS"/>
          </w:rPr>
          <w:t>https://kutak.suk.gov.rs/kutak-znanja/opste-funcionalne-kompetencije-ap-i-jls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Style w:val="InternetLink"/>
          <w:u w:val="none"/>
          <w:lang w:val="sr-RS"/>
        </w:rPr>
        <w:t xml:space="preserve">            </w:t>
      </w:r>
      <w:r>
        <w:rPr>
          <w:rStyle w:val="InternetLink"/>
          <w:lang w:val="sr-RS"/>
        </w:rPr>
        <w:t xml:space="preserve">   </w:t>
      </w:r>
      <w:hyperlink r:id="rId4">
        <w:r>
          <w:rPr>
            <w:rStyle w:val="InternetLink"/>
            <w:lang w:val="sr-RS"/>
          </w:rPr>
          <w:t>https://kutak.suk.gov.rs/kutak-znanja/digitalna-pismenost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Style w:val="InternetLink"/>
          <w:u w:val="none"/>
          <w:lang w:val="sr-RS"/>
        </w:rPr>
        <w:t xml:space="preserve">              </w:t>
      </w:r>
      <w:hyperlink r:id="rId5">
        <w:r>
          <w:rPr>
            <w:rStyle w:val="InternetLink"/>
            <w:u w:val="none"/>
            <w:lang w:val="sr-RS"/>
          </w:rPr>
          <w:t xml:space="preserve"> </w:t>
        </w:r>
        <w:r>
          <w:rPr>
            <w:rStyle w:val="InternetLink"/>
            <w:lang w:val="sr-RS"/>
          </w:rPr>
          <w:t>https://kutak.suk.gov.rs/kutak-znanja/materijali-za-pripremu-ofk/digitalna-pismenost-excel</w:t>
        </w:r>
      </w:hyperlink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у одређеној области рада  </w:t>
      </w:r>
      <w:r>
        <w:rPr>
          <w:rFonts w:cs="Times New Roman Cyr" w:ascii="Times New Roman Cyr" w:hAnsi="Times New Roman Cyr"/>
          <w:b/>
          <w:bCs/>
          <w:color w:val="000000"/>
          <w:spacing w:val="-14"/>
          <w:w w:val="82"/>
          <w:sz w:val="22"/>
          <w:lang w:val="sr-RS"/>
        </w:rPr>
        <w:t>студијско</w:t>
      </w:r>
      <w:r>
        <w:rPr>
          <w:rFonts w:cs="Times New Roman Cyr" w:ascii="Times New Roman Cyr" w:hAnsi="Times New Roman Cyr"/>
          <w:b/>
          <w:color w:val="000000"/>
          <w:w w:val="82"/>
          <w:sz w:val="22"/>
          <w:lang w:val="sr-RS"/>
        </w:rPr>
        <w:t xml:space="preserve"> –аналитички послови- </w:t>
      </w:r>
      <w:r>
        <w:rPr>
          <w:rFonts w:cs="Times New Roman Cyr" w:ascii="Times New Roman Cyr" w:hAnsi="Times New Roman Cyr"/>
          <w:color w:val="000000"/>
          <w:w w:val="82"/>
          <w:sz w:val="22"/>
          <w:lang w:val="sr-RS"/>
        </w:rPr>
        <w:t>методе и технике анализирања планских докумената и прописа и израде извештаја о стању у области</w:t>
      </w:r>
      <w:r>
        <w:rPr>
          <w:color w:val="000000"/>
          <w:w w:val="82"/>
          <w:sz w:val="22"/>
          <w:lang w:val="sr-RS"/>
        </w:rPr>
        <w:t xml:space="preserve"> </w:t>
      </w:r>
      <w:r>
        <w:rPr>
          <w:color w:val="000000"/>
          <w:spacing w:val="-4"/>
          <w:w w:val="102"/>
          <w:sz w:val="22"/>
          <w:lang w:val="sr-Latn-RS"/>
        </w:rPr>
        <w:t xml:space="preserve">- </w:t>
      </w:r>
      <w:r>
        <w:rPr>
          <w:rFonts w:cs="Times New Roman Cyr" w:ascii="Times New Roman Cyr" w:hAnsi="Times New Roman Cyr"/>
          <w:color w:val="000000"/>
          <w:spacing w:val="-4"/>
          <w:w w:val="102"/>
          <w:sz w:val="22"/>
          <w:lang w:val="ru-RU"/>
        </w:rPr>
        <w:t xml:space="preserve"> </w:t>
      </w:r>
      <w:r>
        <w:rPr>
          <w:color w:val="000000"/>
          <w:spacing w:val="-14"/>
          <w:sz w:val="22"/>
          <w:lang w:val="sr-RS"/>
        </w:rPr>
        <w:t xml:space="preserve"> </w:t>
      </w:r>
      <w:r>
        <w:rPr>
          <w:rFonts w:cs="Calibri" w:ascii="Times New Roman" w:hAnsi="Times New Roman" w:cstheme="minorHAnsi"/>
          <w:bCs/>
          <w:lang w:val="sr-RS"/>
        </w:rPr>
        <w:t xml:space="preserve">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spacing w:lineRule="auto" w:line="240" w:before="0" w:after="240"/>
        <w:ind w:firstLine="720"/>
        <w:rPr/>
      </w:pPr>
      <w:hyperlink r:id="rId6">
        <w:r>
          <w:rPr>
            <w:rStyle w:val="InternetLink"/>
            <w:rFonts w:cs="Calibri" w:cstheme="minorHAnsi"/>
            <w:bCs/>
            <w:color w:val="729FCF"/>
            <w:lang w:val="sr-RS"/>
          </w:rPr>
          <w:t>https://kutak.suk.gov.rs/kutak-znanja/primeri-zadataka?competence=studijsko-analiticki-poslovi&amp;</w:t>
        </w:r>
      </w:hyperlink>
    </w:p>
    <w:p>
      <w:pPr>
        <w:pStyle w:val="Normal"/>
        <w:spacing w:lineRule="auto" w:line="240" w:before="0" w:after="240"/>
        <w:ind w:hanging="0"/>
        <w:jc w:val="both"/>
        <w:rPr>
          <w:rFonts w:cs="Calibri" w:cstheme="minorHAnsi"/>
          <w:bCs/>
          <w:lang w:val="sr-RS"/>
        </w:rPr>
      </w:pP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 xml:space="preserve">              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sr-RS"/>
        </w:rPr>
        <w:t xml:space="preserve"> у одређеној области рада </w:t>
      </w:r>
      <w:r>
        <w:rPr>
          <w:color w:val="000000"/>
          <w:spacing w:val="-1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b/>
          <w:color w:val="000000"/>
          <w:spacing w:val="-14"/>
          <w:sz w:val="22"/>
          <w:lang w:val="sr-RS"/>
        </w:rPr>
        <w:t xml:space="preserve">стручно –оперативни послови – </w:t>
      </w:r>
      <w:r>
        <w:rPr>
          <w:rFonts w:cs="Times New Roman Cyr" w:ascii="Times New Roman Cyr" w:hAnsi="Times New Roman Cyr"/>
          <w:color w:val="000000"/>
          <w:spacing w:val="-14"/>
          <w:sz w:val="22"/>
          <w:lang w:val="sr-RS"/>
        </w:rPr>
        <w:t>методе и</w:t>
      </w:r>
      <w:r>
        <w:rPr>
          <w:b/>
          <w:color w:val="000000"/>
          <w:spacing w:val="-14"/>
          <w:sz w:val="22"/>
          <w:lang w:val="sr-RS"/>
        </w:rPr>
        <w:t xml:space="preserve"> </w:t>
      </w:r>
      <w:r>
        <w:rPr>
          <w:rFonts w:cs="Times New Roman Cyr" w:ascii="Times New Roman Cyr" w:hAnsi="Times New Roman Cyr"/>
          <w:color w:val="000000"/>
          <w:sz w:val="22"/>
          <w:lang w:val="sr-RS"/>
        </w:rPr>
        <w:t xml:space="preserve">технике опсервације, прикупљања и евидентирања података </w:t>
      </w:r>
      <w:r>
        <w:rPr>
          <w:rFonts w:cs="Calibri" w:ascii="Times New Roman" w:hAnsi="Times New Roman" w:cstheme="minorHAnsi"/>
          <w:color w:val="000000"/>
          <w:sz w:val="22"/>
          <w:lang w:val="sr-RS"/>
        </w:rPr>
        <w:t xml:space="preserve">могу се наћи на следећем линку: </w:t>
      </w:r>
      <w:r>
        <w:rPr>
          <w:rFonts w:cs="Calibri" w:ascii="Times New Roman" w:hAnsi="Times New Roman" w:cstheme="minorHAnsi"/>
          <w:color w:val="000000"/>
          <w:sz w:val="22"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hanging="0"/>
        <w:jc w:val="both"/>
        <w:rPr>
          <w:rFonts w:cs="Calibri" w:cstheme="minorHAnsi"/>
          <w:bCs/>
          <w:lang w:val="sr-RS"/>
        </w:rPr>
      </w:pPr>
      <w:r>
        <w:rPr>
          <w:rFonts w:cs="Times New Roman Cyr" w:ascii="Times New Roman Cyr" w:hAnsi="Times New Roman Cyr"/>
          <w:color w:val="000000"/>
          <w:sz w:val="22"/>
          <w:lang w:val="sr-RS"/>
        </w:rPr>
        <w:t xml:space="preserve">              </w:t>
      </w:r>
      <w:r>
        <w:rPr>
          <w:rFonts w:cs="Times New Roman Cyr" w:ascii="Times New Roman Cyr" w:hAnsi="Times New Roman Cyr"/>
          <w:color w:val="000000"/>
          <w:sz w:val="22"/>
          <w:lang w:val="sr-RS"/>
        </w:rPr>
        <w:t>https://kutak.suk.gov.rs/kutak-znanja/primeri-zadataka?competence=strucno-operativni-poslovi&amp;</w:t>
      </w:r>
    </w:p>
    <w:p>
      <w:pPr>
        <w:pStyle w:val="Normal"/>
        <w:spacing w:lineRule="auto" w:line="240" w:before="0" w:after="240"/>
        <w:ind w:firstLine="72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одређено радно место (планска документа, прописи и акта из надлежности и организације органа)- Статут града Пирота  и  Локални акциони план за запошљавање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</w:t>
      </w:r>
      <w:r>
        <w:rPr>
          <w:rFonts w:cs="Calibri" w:cstheme="minorHAnsi"/>
          <w:color w:val="5983B0"/>
        </w:rPr>
        <w:t xml:space="preserve"> </w:t>
      </w:r>
      <w:hyperlink r:id="rId7">
        <w:r>
          <w:rPr>
            <w:rStyle w:val="InternetLink"/>
            <w:rFonts w:cs="Calibri" w:cstheme="minorHAnsi"/>
            <w:color w:val="5983B0"/>
          </w:rPr>
          <w:t xml:space="preserve">  </w:t>
        </w:r>
        <w:r>
          <w:rPr>
            <w:rStyle w:val="InternetLink"/>
            <w:rFonts w:cs="Calibri" w:cstheme="minorHAnsi"/>
            <w:color w:val="5983B0"/>
          </w:rPr>
          <w:t xml:space="preserve">  </w:t>
        </w:r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            </w:t>
      </w:r>
      <w:hyperlink r:id="rId8">
        <w:r>
          <w:rPr>
            <w:rStyle w:val="InternetLink"/>
            <w:rFonts w:cs="Calibri" w:cstheme="minorHAnsi"/>
            <w:color w:val="729FCF"/>
          </w:rPr>
          <w:t>https://www.pirot.rs/index.php/8-cirilica/5071-lokalna-politika-zaposljavanja-2</w:t>
        </w:r>
      </w:hyperlink>
    </w:p>
    <w:p>
      <w:pPr>
        <w:pStyle w:val="Normal"/>
        <w:spacing w:lineRule="auto" w:line="240" w:before="0" w:after="240"/>
        <w:ind w:firstLine="720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одређено радно место (прописи из делокруга радног места)- </w:t>
      </w:r>
      <w:r>
        <w:rPr>
          <w:rFonts w:cs="Calibri" w:ascii="Times New Roman" w:hAnsi="Times New Roman" w:cstheme="minorHAnsi"/>
          <w:b/>
          <w:bCs/>
          <w:sz w:val="22"/>
          <w:szCs w:val="22"/>
          <w:lang w:val="sr-CS"/>
        </w:rPr>
        <w:t>У</w:t>
      </w:r>
      <w:r>
        <w:rPr>
          <w:rFonts w:ascii="Times New Roman" w:hAnsi="Times New Roman"/>
          <w:b/>
          <w:sz w:val="22"/>
          <w:szCs w:val="22"/>
          <w:lang w:val="ru-RU"/>
        </w:rPr>
        <w:t>редба</w:t>
      </w:r>
      <w:r>
        <w:rPr>
          <w:rFonts w:ascii="Times New Roman" w:hAnsi="Times New Roman"/>
          <w:b/>
          <w:sz w:val="22"/>
          <w:szCs w:val="22"/>
          <w:lang w:val="sr-CS"/>
        </w:rPr>
        <w:t xml:space="preserve"> о методологији управљањa јавним политикама, анализи ефеката јавних политика и прописа и садржају појединачних докумената јавних политика</w:t>
      </w:r>
      <w:r>
        <w:rPr>
          <w:rFonts w:ascii="Times New Roman" w:hAnsi="Times New Roman"/>
          <w:b/>
          <w:sz w:val="22"/>
          <w:szCs w:val="22"/>
          <w:lang w:val="sr-Latn-RS"/>
        </w:rPr>
        <w:t xml:space="preserve">,  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Закон о планском систему РС </w:t>
      </w:r>
      <w:r>
        <w:rPr>
          <w:rFonts w:ascii="Times New Roman" w:hAnsi="Times New Roman"/>
          <w:b w:val="false"/>
          <w:bCs w:val="false"/>
          <w:sz w:val="22"/>
          <w:szCs w:val="22"/>
          <w:lang w:val="ru-RU"/>
        </w:rPr>
        <w:t>м</w:t>
      </w:r>
      <w:r>
        <w:rPr>
          <w:rFonts w:cs="Calibri" w:ascii="Times New Roman" w:hAnsi="Times New Roman" w:cstheme="minorHAnsi"/>
          <w:bCs/>
          <w:lang w:val="sr-RS"/>
        </w:rPr>
        <w:t xml:space="preserve">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 </w:t>
      </w:r>
      <w:r>
        <w:rPr>
          <w:rFonts w:cs="Calibri" w:ascii="Times New Roman" w:hAnsi="Times New Roman" w:cstheme="minorHAnsi"/>
          <w:bCs/>
          <w:lang w:val="sr-RS"/>
        </w:rPr>
        <w:t xml:space="preserve">  </w:t>
      </w:r>
    </w:p>
    <w:p>
      <w:pPr>
        <w:pStyle w:val="Normal"/>
        <w:spacing w:lineRule="auto" w:line="240" w:before="0" w:after="240"/>
        <w:ind w:firstLine="720"/>
        <w:rPr/>
      </w:pPr>
      <w:hyperlink r:id="rId9">
        <w:r>
          <w:rPr>
            <w:rStyle w:val="InternetLink"/>
            <w:rFonts w:cs="Calibri" w:cstheme="minorHAnsi"/>
            <w:color w:val="5983B0"/>
            <w:lang w:val="sr-RS"/>
          </w:rPr>
          <w:t>https://pravno-informacioni-sistem.rs/eli/rep/sgrs/vlada/uredba/2019/8/9/reg</w:t>
        </w:r>
      </w:hyperlink>
    </w:p>
    <w:p>
      <w:pPr>
        <w:pStyle w:val="Normal"/>
        <w:spacing w:lineRule="auto" w:line="240" w:before="0" w:after="240"/>
        <w:ind w:firstLine="720"/>
        <w:rPr/>
      </w:pPr>
      <w:hyperlink r:id="rId10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https://www.paragraf.rs/propisi/zakon-o-planskom-sistemu-republike-srbije.html</w:t>
        </w:r>
      </w:hyperlink>
    </w:p>
    <w:p>
      <w:pPr>
        <w:pStyle w:val="Normal"/>
        <w:spacing w:lineRule="auto" w:line="240" w:before="0" w:after="240"/>
        <w:ind w:firstLine="720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 Cy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paragraph" w:styleId="Odlukazakon">
    <w:name w:val="odluka-zakon"/>
    <w:basedOn w:val="Normal"/>
    <w:qFormat/>
    <w:pPr>
      <w:spacing w:beforeAutospacing="1" w:afterAutospacing="1"/>
    </w:pPr>
    <w:rPr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tak.suk.gov.rs/kutak-znanja/materijali-za-pripremu-jls" TargetMode="External"/><Relationship Id="rId3" Type="http://schemas.openxmlformats.org/officeDocument/2006/relationships/hyperlink" Target="https://kutak.suk.gov.rs/kutak-znanja/opste-funcionalne-kompetencije-ap-i-jls" TargetMode="External"/><Relationship Id="rId4" Type="http://schemas.openxmlformats.org/officeDocument/2006/relationships/hyperlink" Target="https://kutak.suk.gov.rs/kutak-znanja/digitalna-pismenost" TargetMode="External"/><Relationship Id="rId5" Type="http://schemas.openxmlformats.org/officeDocument/2006/relationships/hyperlink" Target="https://kutak.suk.gov.rs/kutak-znanja/materijali-za-pripremu-ofk/digitalna-pismenost-excel" TargetMode="External"/><Relationship Id="rId6" Type="http://schemas.openxmlformats.org/officeDocument/2006/relationships/hyperlink" Target="https://kutak.suk.gov.rs/kutak-znanja/primeri-zadataka?competence=studijsko-analiticki-poslovi&amp;" TargetMode="External"/><Relationship Id="rId7" Type="http://schemas.openxmlformats.org/officeDocument/2006/relationships/hyperlink" Target="https://pirot.rs/index.php/dokumenta/statut-opstine-pirot-2" TargetMode="External"/><Relationship Id="rId8" Type="http://schemas.openxmlformats.org/officeDocument/2006/relationships/hyperlink" Target="https://www.pirot.rs/index.php/8-cirilica/5071-lokalna-politika-zaposljavanja-2" TargetMode="External"/><Relationship Id="rId9" Type="http://schemas.openxmlformats.org/officeDocument/2006/relationships/hyperlink" Target="https://pravno-informacioni-sistem.rs/eli/rep/sgrs/vlada/uredba/2019/8/9/reg" TargetMode="External"/><Relationship Id="rId10" Type="http://schemas.openxmlformats.org/officeDocument/2006/relationships/hyperlink" Target="https://www.paragraf.rs/propisi/zakon-o-planskom-sistemu-republike-srbije.html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LibreOffice/7.3.2.2$Windows_X86_64 LibreOffice_project/49f2b1bff42cfccbd8f788c8dc32c1c309559be0</Application>
  <AppVersion>15.0000</AppVersion>
  <Pages>1</Pages>
  <Words>171</Words>
  <Characters>1706</Characters>
  <CharactersWithSpaces>2005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cp:lastPrinted>2024-09-20T10:53:21Z</cp:lastPrinted>
  <dcterms:modified xsi:type="dcterms:W3CDTF">2024-10-15T14:54:33Z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