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4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Fonts w:ascii="Times New Roman" w:hAnsi="Times New Roman"/>
        </w:rPr>
        <w:t xml:space="preserve">Материјали за </w:t>
      </w:r>
      <w:r>
        <w:rPr>
          <w:rFonts w:ascii="Times New Roman" w:hAnsi="Times New Roman"/>
          <w:lang w:val="sr-RS"/>
        </w:rPr>
        <w:t xml:space="preserve">припрему кандидата за </w:t>
      </w:r>
      <w:r>
        <w:rPr>
          <w:rFonts w:ascii="Times New Roman" w:hAnsi="Times New Roman"/>
        </w:rPr>
        <w:t>проверу</w:t>
      </w:r>
      <w:r>
        <w:rPr>
          <w:rFonts w:ascii="Times New Roman" w:hAnsi="Times New Roman"/>
          <w:lang w:val="sr-RS"/>
        </w:rPr>
        <w:t xml:space="preserve"> општих функционалних компетенција могу се пронаћи на следећем линку:</w:t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  <w:t xml:space="preserve">              </w:t>
      </w:r>
      <w:hyperlink r:id="rId2">
        <w:r>
          <w:rPr>
            <w:rStyle w:val="InternetLink"/>
            <w:lang w:val="sr-RS"/>
          </w:rPr>
          <w:t>Кутак | Материјали за припрему - АП и ЈЛС (suk.gov.rs)</w:t>
        </w:r>
      </w:hyperlink>
      <w:r>
        <w:rPr>
          <w:lang w:val="sr-RS"/>
        </w:rPr>
        <w:t xml:space="preserve"> </w:t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  <w:t xml:space="preserve">              </w:t>
      </w:r>
      <w:hyperlink r:id="rId3">
        <w:r>
          <w:rPr>
            <w:rStyle w:val="InternetLink"/>
            <w:lang w:val="sr-RS"/>
          </w:rPr>
          <w:t xml:space="preserve"> </w:t>
        </w:r>
        <w:bookmarkStart w:id="0" w:name="_GoBack"/>
        <w:bookmarkEnd w:id="0"/>
        <w:r>
          <w:rPr>
            <w:rStyle w:val="InternetLink"/>
            <w:lang w:val="sr-RS"/>
          </w:rPr>
          <w:t>https://kutak.suk.gov.rs/kutak-znanja/opste-funcionalne-kompetencije-ap-i-jls</w:t>
        </w:r>
      </w:hyperlink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Style w:val="InternetLink"/>
          <w:u w:val="none"/>
          <w:lang w:val="sr-RS"/>
        </w:rPr>
        <w:t xml:space="preserve">              </w:t>
      </w:r>
      <w:r>
        <w:rPr>
          <w:rStyle w:val="InternetLink"/>
          <w:lang w:val="sr-RS"/>
        </w:rPr>
        <w:t xml:space="preserve"> </w:t>
      </w:r>
      <w:hyperlink r:id="rId4">
        <w:r>
          <w:rPr>
            <w:rStyle w:val="InternetLink"/>
            <w:lang w:val="sr-RS"/>
          </w:rPr>
          <w:t>https://kutak.suk.gov.rs/kutak-znanja/digitalna-pismenost</w:t>
        </w:r>
      </w:hyperlink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Style w:val="InternetLink"/>
          <w:u w:val="none"/>
          <w:lang w:val="sr-RS"/>
        </w:rPr>
        <w:t xml:space="preserve">               </w:t>
      </w:r>
      <w:hyperlink r:id="rId5">
        <w:r>
          <w:rPr>
            <w:rStyle w:val="InternetLink"/>
            <w:lang w:val="sr-RS"/>
          </w:rPr>
          <w:t>https://kutak.suk.gov.rs/kutak-znanja/materijali-za-pripremu-ofk/digitalna-pismenost-excel</w:t>
        </w:r>
      </w:hyperlink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у одређеној области рада (финансијско -материјални послови) - </w:t>
      </w:r>
      <w:r>
        <w:rPr>
          <w:rFonts w:cs="Times New Roman Cyr" w:ascii="Times New Roman" w:hAnsi="Times New Roman"/>
          <w:bCs/>
          <w:color w:val="000000"/>
          <w:sz w:val="22"/>
          <w:lang w:val="sr-RS"/>
        </w:rPr>
        <w:t>буџетски</w:t>
      </w:r>
      <w:r>
        <w:rPr>
          <w:rFonts w:cs="Times New Roman Cyr" w:ascii="Times New Roman" w:hAnsi="Times New Roman"/>
          <w:color w:val="000000"/>
          <w:sz w:val="22"/>
          <w:lang w:val="sr-RS"/>
        </w:rPr>
        <w:t xml:space="preserve"> систем Републике Србије, методе и поступци финансијског планирања, анализе и извештавања, поступак извршења буџета, финансијско управљање и контрола </w:t>
      </w:r>
      <w:r>
        <w:rPr>
          <w:rFonts w:cs="Calibri" w:ascii="Times New Roman" w:hAnsi="Times New Roman" w:cstheme="minorHAnsi"/>
          <w:bCs/>
          <w:lang w:val="sr-RS"/>
        </w:rPr>
        <w:t xml:space="preserve"> 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spacing w:lineRule="auto" w:line="240" w:before="0" w:after="240"/>
        <w:ind w:firstLine="720"/>
        <w:rPr/>
      </w:pPr>
      <w:hyperlink r:id="rId6">
        <w:r>
          <w:rPr>
            <w:rStyle w:val="InternetLink"/>
            <w:rFonts w:cs="Calibri" w:cstheme="minorHAnsi"/>
            <w:bCs/>
            <w:color w:val="729FCF"/>
            <w:lang w:val="sr-RS"/>
          </w:rPr>
          <w:t>https://kutak.suk.gov.rs/kutak-znanja/primeri-zadataka?competence=finansijsko-materijalni-poslovi&amp;</w:t>
        </w:r>
      </w:hyperlink>
    </w:p>
    <w:p>
      <w:pPr>
        <w:pStyle w:val="Normal"/>
        <w:spacing w:lineRule="auto" w:line="240" w:before="0" w:after="240"/>
        <w:ind w:firstLine="72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Cs/>
          <w:lang w:val="sr-RS"/>
        </w:rPr>
        <w:t xml:space="preserve">Посебна функционална компетенција за одређено радно место (планска документа, прописи и акта из надлежности и организације органа)- Статут града Пирота  и Одлука о буџету града Пирота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</w:t>
      </w:r>
      <w:r>
        <w:rPr>
          <w:rFonts w:cs="Calibri" w:cstheme="minorHAnsi"/>
          <w:color w:val="5983B0"/>
        </w:rPr>
        <w:t xml:space="preserve">   </w:t>
      </w:r>
      <w:hyperlink r:id="rId7">
        <w:r>
          <w:rPr>
            <w:rStyle w:val="InternetLink"/>
            <w:rFonts w:cs="Calibri" w:cstheme="minorHAnsi"/>
            <w:color w:val="5983B0"/>
          </w:rPr>
          <w:t xml:space="preserve">  </w:t>
        </w:r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729FCF"/>
        </w:rPr>
        <w:t xml:space="preserve">                </w:t>
      </w:r>
      <w:hyperlink r:id="rId8">
        <w:r>
          <w:rPr>
            <w:rStyle w:val="InternetLink"/>
            <w:rFonts w:cs="Calibri" w:cstheme="minorHAnsi"/>
            <w:color w:val="729FCF"/>
          </w:rPr>
          <w:t xml:space="preserve"> </w:t>
        </w:r>
        <w:r>
          <w:rPr>
            <w:rStyle w:val="InternetLink"/>
            <w:rFonts w:cs="Calibri" w:cstheme="minorHAnsi"/>
            <w:color w:val="729FCF"/>
          </w:rPr>
          <w:t>https://pirot.rs/index.php/dokumenta/budzet/113-2024-g-din</w:t>
        </w:r>
      </w:hyperlink>
    </w:p>
    <w:p>
      <w:pPr>
        <w:pStyle w:val="Normal"/>
        <w:spacing w:lineRule="auto" w:line="240" w:before="0" w:after="240"/>
        <w:ind w:firstLine="720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одређено радно место (прописи из делокруга радног места)- Закон о финансирању  локалне самоуправе и Уредба о буџетском рачуноводству могу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 </w:t>
      </w:r>
      <w:r>
        <w:rPr>
          <w:rFonts w:cs="Calibri" w:ascii="Times New Roman" w:hAnsi="Times New Roman" w:cstheme="minorHAnsi"/>
          <w:bCs/>
          <w:lang w:val="sr-RS"/>
        </w:rPr>
        <w:t xml:space="preserve">  </w:t>
      </w:r>
    </w:p>
    <w:p>
      <w:pPr>
        <w:pStyle w:val="Normal"/>
        <w:spacing w:lineRule="auto" w:line="240" w:before="0" w:after="240"/>
        <w:ind w:firstLine="720"/>
        <w:rPr/>
      </w:pPr>
      <w:hyperlink r:id="rId9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https://www.paragraf.rs/propisi/zakon_o_finansiranju_lokalne_samouprave.html</w:t>
        </w:r>
      </w:hyperlink>
    </w:p>
    <w:p>
      <w:pPr>
        <w:pStyle w:val="Normal"/>
        <w:spacing w:lineRule="auto" w:line="240" w:before="0" w:after="240"/>
        <w:ind w:firstLine="720"/>
        <w:rPr/>
      </w:pPr>
      <w:hyperlink r:id="rId10">
        <w:r>
          <w:rPr>
            <w:rStyle w:val="InternetLink"/>
            <w:rFonts w:cs="Calibri" w:cstheme="minorHAnsi"/>
            <w:color w:val="729FCF"/>
          </w:rPr>
          <w:t>https://www.paragraf.rs/propisi/zakon_o_poreskom_postupku_i_poreskoj_administraciji.html</w:t>
        </w:r>
      </w:hyperlink>
    </w:p>
    <w:p>
      <w:pPr>
        <w:pStyle w:val="Normal"/>
        <w:spacing w:lineRule="auto" w:line="240" w:before="0" w:after="24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tak.suk.gov.rs/kutak-znanja/materijali-za-pripremu-jls" TargetMode="External"/><Relationship Id="rId3" Type="http://schemas.openxmlformats.org/officeDocument/2006/relationships/hyperlink" Target="https://kutak.suk.gov.rs/kutak-znanja/opste-funcionalne-kompetencije-ap-i-jls" TargetMode="External"/><Relationship Id="rId4" Type="http://schemas.openxmlformats.org/officeDocument/2006/relationships/hyperlink" Target="https://kutak.suk.gov.rs/kutak-znanja/digitalna-pismenost" TargetMode="External"/><Relationship Id="rId5" Type="http://schemas.openxmlformats.org/officeDocument/2006/relationships/hyperlink" Target="https://kutak.suk.gov.rs/kutak-znanja/materijali-za-pripremu-ofk/digitalna-pismenost-excel" TargetMode="External"/><Relationship Id="rId6" Type="http://schemas.openxmlformats.org/officeDocument/2006/relationships/hyperlink" Target="https://kutak.suk.gov.rs/kutak-znanja/primeri-zadataka?competence=finansijsko-materijalni-poslovi&amp;" TargetMode="External"/><Relationship Id="rId7" Type="http://schemas.openxmlformats.org/officeDocument/2006/relationships/hyperlink" Target="https://pirot.rs/index.php/dokumenta/statut-opstine-pirot-2" TargetMode="External"/><Relationship Id="rId8" Type="http://schemas.openxmlformats.org/officeDocument/2006/relationships/hyperlink" Target="https://pirot.rs/index.php/dokumenta/budzet/113-2024-g-din" TargetMode="External"/><Relationship Id="rId9" Type="http://schemas.openxmlformats.org/officeDocument/2006/relationships/hyperlink" Target="https://www.paragraf.rs/propisi/zakon_o_finansiranju_lokalne_samouprave.html" TargetMode="External"/><Relationship Id="rId10" Type="http://schemas.openxmlformats.org/officeDocument/2006/relationships/hyperlink" Target="https://www.paragraf.rs/propisi/zakon_o_poreskom_postupku_i_poreskoj_administraciji.html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LibreOffice/7.3.2.2$Windows_X86_64 LibreOffice_project/49f2b1bff42cfccbd8f788c8dc32c1c309559be0</Application>
  <AppVersion>15.0000</AppVersion>
  <Pages>1</Pages>
  <Words>134</Words>
  <Characters>1392</Characters>
  <CharactersWithSpaces>1625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cp:lastPrinted>2024-09-20T10:53:21Z</cp:lastPrinted>
  <dcterms:modified xsi:type="dcterms:W3CDTF">2024-10-15T14:44:25Z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